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0"/>
        <w:gridCol w:w="2490"/>
        <w:gridCol w:w="2551"/>
        <w:tblGridChange w:id="0">
          <w:tblGrid>
            <w:gridCol w:w="5850"/>
            <w:gridCol w:w="2490"/>
            <w:gridCol w:w="2551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NOTICE OF MEETING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are hereby summoned to a virtual meeting of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 to be held via Zoom on-line.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Date: Tuesday 5th January 2021  Time: 7PM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venue is thus wherever councillors/public feel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comfortable joining from, that is without background noise &amp; sale of alcohol.                                                   Members of the public are invited to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 the meeting.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join the meeting, please use Zoom with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ID: 531 963 1657 ; PASSWORD: 065167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Juliet Johnson, Proper Officer to YTC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323758" cy="1312757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58" cy="1312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Town Hall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Street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TS15 9AH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accordance with the Openness of Local Government Bodies Regulations 2014, photographing, recording, broadcasting or transmitting the proceedings of a meeting by any means is permitted; the Chair will notify those present of this at the start of the meeting and ask whether they agree to be filmed, recorded or photographed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FINANCE &amp; GOVERNANCE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 for absence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 | Declaration of Interest | Dispensation: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record declarations of interest from members of any item to be discussed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consider, vote upon and record any requests for dispensation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of Minutes: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to approve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4.1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to discuss and agree the YTC budget and Precept for 2021 - 2022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Cllr Addison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(REPORT &amp; SPREADSHEETS REFER)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4.2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to discuss and review proposed new budget headings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Town Clerk &amp; Cllr Addison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 xml:space="preserve">(PAPER REFERS)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5.</w:t>
        <w:tab/>
        <w:t xml:space="preserve">      Governance: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5.1</w:t>
        <w:tab/>
        <w:t xml:space="preserve">N/A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6.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receive items for information and consideration for the next agenda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PROPOSED, AS REVIEW DUE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(Cllr Addison / Town Clerk)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6.1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Review of Standing Orders (Current YTC against model / best practice)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6.2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Review of Financial Regulations (Current YTC against model / best practice)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6.3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Risk Assessment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7.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date and time of the next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Finance &amp; Governance Committee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February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-28566</wp:posOffset>
              </wp:positionH>
              <wp:positionV relativeFrom="page">
                <wp:posOffset>161928</wp:posOffset>
              </wp:positionV>
              <wp:extent cx="7829550" cy="323850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BIC Typeface Headline Light" w:cs="SABIC Typeface Headline Light" w:eastAsia="SABIC Typeface Headline Light" w:hAnsi="SABIC Typeface Headline Light"/>
                              <w:b w:val="0"/>
                              <w:i w:val="0"/>
                              <w:smallCaps w:val="0"/>
                              <w:strike w:val="0"/>
                              <w:color w:val="009fdf"/>
                              <w:sz w:val="20"/>
                              <w:vertAlign w:val="baseline"/>
                            </w:rPr>
                            <w:t xml:space="preserve">Classification: Internal Use</w:t>
                          </w:r>
                        </w:p>
                      </w:txbxContent>
                    </wps:txbx>
                    <wps:bodyPr anchorCtr="0" anchor="t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-28566</wp:posOffset>
              </wp:positionH>
              <wp:positionV relativeFrom="page">
                <wp:posOffset>161928</wp:posOffset>
              </wp:positionV>
              <wp:extent cx="7829550" cy="323850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13" name="image2.png"/>
              <a:graphic>
                <a:graphicData uri="http://schemas.openxmlformats.org/drawingml/2006/picture">
                  <pic:pic>
                    <pic:nvPicPr>
                      <pic:cNvPr descr="{&quot;HashCode&quot;:1951441951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A5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6D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B6D5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824"/>
  </w:style>
  <w:style w:type="paragraph" w:styleId="Footer">
    <w:name w:val="footer"/>
    <w:basedOn w:val="Normal"/>
    <w:link w:val="Foot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82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7EA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7EA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">
      <a:dk1>
        <a:srgbClr val="009FE9"/>
      </a:dk1>
      <a:lt1>
        <a:srgbClr val="009FE9"/>
      </a:lt1>
      <a:dk2>
        <a:srgbClr val="041E42"/>
      </a:dk2>
      <a:lt2>
        <a:srgbClr val="FFCD00"/>
      </a:lt2>
      <a:accent1>
        <a:srgbClr val="E35205"/>
      </a:accent1>
      <a:accent2>
        <a:srgbClr val="53565A"/>
      </a:accent2>
      <a:accent3>
        <a:srgbClr val="A7A8AA"/>
      </a:accent3>
      <a:accent4>
        <a:srgbClr val="FFFFFF"/>
      </a:accent4>
      <a:accent5>
        <a:srgbClr val="0047BB"/>
      </a:accent5>
      <a:accent6>
        <a:srgbClr val="FFA300"/>
      </a:accent6>
      <a:hlink>
        <a:srgbClr val="009FE9"/>
      </a:hlink>
      <a:folHlink>
        <a:srgbClr val="009FE9"/>
      </a:folHlink>
    </a:clrScheme>
    <a:fontScheme name="newfont">
      <a:majorFont>
        <a:latin typeface="Arial"/>
        <a:ea typeface=""/>
        <a:cs typeface=""/>
      </a:majorFont>
      <a:minorFont>
        <a:latin typeface="Arial (body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QduWbhoF2TlCRg4/Wkwg8himVg==">AMUW2mXN3JeSiUib5LOOX+CeglbRgG7/AX8ebzCr43rut+vvAys0yeEVFELmEricgvd0w8J2BOmnzLN8VLteYYb39KH6LnOKzsViux0YRlmxa6aIUV4cJ3M=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2020-05-04T10:03:00Z</dcterms:created>
  <dc:creator>Walker, Chris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505002958@sabiccorp.sabic.com</vt:lpwstr>
  </property>
  <property fmtid="{D5CDD505-2E9C-101B-9397-08002B2CF9AE}" pid="5" name="MSIP_Label_a7d50848-5462-4933-a6ae-3f5aa423884b_SetDate">
    <vt:lpwstr>2020-02-13T14:36:59.3945692Z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ActionId">
    <vt:lpwstr>0ff4e892-89bd-4137-ba7c-0313cbf363ba</vt:lpwstr>
  </property>
  <property fmtid="{D5CDD505-2E9C-101B-9397-08002B2CF9AE}" pid="9" name="MSIP_Label_a7d50848-5462-4933-a6ae-3f5aa423884b_Extended_MSFT_Method">
    <vt:lpwstr>Automatic</vt:lpwstr>
  </property>
  <property fmtid="{D5CDD505-2E9C-101B-9397-08002B2CF9AE}" pid="10" name="Sensitivity">
    <vt:lpwstr>Internal Use</vt:lpwstr>
  </property>
</Properties>
</file>