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40"/>
        <w:gridCol w:w="2700"/>
        <w:gridCol w:w="2551"/>
        <w:tblGridChange w:id="0">
          <w:tblGrid>
            <w:gridCol w:w="5640"/>
            <w:gridCol w:w="270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15th September 2020  Time: 7PM</w:t>
            </w:r>
          </w:p>
          <w:p w:rsidR="00000000" w:rsidDel="00000000" w:rsidP="00000000" w:rsidRDefault="00000000" w:rsidRPr="00000000" w14:paraId="0000000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 PASSWORD: 065167</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Weigh and Tolls Committee</w:t>
      </w:r>
    </w:p>
    <w:p w:rsidR="00000000" w:rsidDel="00000000" w:rsidP="00000000" w:rsidRDefault="00000000" w:rsidRPr="00000000" w14:paraId="00000017">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MINUTES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Patrick Morton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Marjorie Simpson</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w:t>
        <w:tab/>
        <w:tab/>
        <w:tab/>
        <w:tab/>
        <w:t xml:space="preserve">Cllr Pam Smailes</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Town Clerk / Proper Officer (Juliet Johnson)</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r>
    </w:p>
    <w:p w:rsidR="00000000" w:rsidDel="00000000" w:rsidP="00000000" w:rsidRDefault="00000000" w:rsidRPr="00000000" w14:paraId="0000001E">
      <w:pPr>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for absence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1.1</w:t>
        <w:tab/>
      </w:r>
      <w:r w:rsidDel="00000000" w:rsidR="00000000" w:rsidRPr="00000000">
        <w:rPr>
          <w:rFonts w:ascii="Calibri" w:cs="Calibri" w:eastAsia="Calibri" w:hAnsi="Calibri"/>
          <w:rtl w:val="0"/>
        </w:rPr>
        <w:t xml:space="preserve">Apologies were received and accepted from </w:t>
      </w:r>
      <w:r w:rsidDel="00000000" w:rsidR="00000000" w:rsidRPr="00000000">
        <w:rPr>
          <w:rFonts w:ascii="Calibri" w:cs="Calibri" w:eastAsia="Calibri" w:hAnsi="Calibri"/>
          <w:b w:val="1"/>
          <w:rtl w:val="0"/>
        </w:rPr>
        <w:t xml:space="preserve">Cllr Alan Moffitt</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 | Declaration of Interest | Dispensation:</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record declarations of interest from members of any item to be discussed</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2.1</w:t>
        <w:tab/>
        <w:t xml:space="preserve">None received.</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Confirmation of Minutes:</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minutes of the Weigh &amp; Tolls Committee 14th July 2020 were approved</w:t>
      </w:r>
      <w:r w:rsidDel="00000000" w:rsidR="00000000" w:rsidRPr="00000000">
        <w:rPr>
          <w:rFonts w:ascii="Calibri" w:cs="Calibri" w:eastAsia="Calibri" w:hAnsi="Calibri"/>
          <w:rtl w:val="0"/>
        </w:rPr>
        <w:t xml:space="preserv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Matters arising from the minutes of the previous meeting</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4.1</w:t>
        <w:tab/>
        <w:t xml:space="preserve">(</w:t>
      </w:r>
      <w:r w:rsidDel="00000000" w:rsidR="00000000" w:rsidRPr="00000000">
        <w:rPr>
          <w:rFonts w:ascii="Calibri" w:cs="Calibri" w:eastAsia="Calibri" w:hAnsi="Calibri"/>
          <w:rtl w:val="0"/>
        </w:rPr>
        <w:t xml:space="preserve">N/A - Town Hall is agenda item below)</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authori</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payment of the accounts (Weigh and Tolls)</w:t>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Cllr P. Addison</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345"/>
        <w:gridCol w:w="2325"/>
        <w:gridCol w:w="2700"/>
        <w:tblGridChange w:id="0">
          <w:tblGrid>
            <w:gridCol w:w="2430"/>
            <w:gridCol w:w="3345"/>
            <w:gridCol w:w="2325"/>
            <w:gridCol w:w="2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CREDITOR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AMOUNT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Broadband / 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Virgin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£36 (August)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Market Toll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Stockton Borough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£50 (August)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Broadband / 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Virgin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£36 (September)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Market Toll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Stockton Borough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£50 (September)</w:t>
            </w:r>
          </w:p>
        </w:tc>
      </w:tr>
    </w:tb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6.</w:t>
        <w:tab/>
        <w:t xml:space="preserve">        The Town Hall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Fonts w:ascii="Calibri" w:cs="Calibri" w:eastAsia="Calibri" w:hAnsi="Calibri"/>
          <w:rtl w:val="0"/>
        </w:rPr>
        <w:t xml:space="preserve">6.1 </w:t>
        <w:tab/>
        <w:t xml:space="preserve">The Town Hall Project</w:t>
        <w:tab/>
      </w:r>
      <w:r w:rsidDel="00000000" w:rsidR="00000000" w:rsidRPr="00000000">
        <w:rPr>
          <w:rFonts w:ascii="Calibri" w:cs="Calibri" w:eastAsia="Calibri" w:hAnsi="Calibri"/>
          <w:b w:val="1"/>
          <w:rtl w:val="0"/>
        </w:rPr>
        <w:tab/>
        <w:tab/>
        <w:tab/>
        <w:tab/>
        <w:t xml:space="preserve"> </w:t>
        <w:tab/>
        <w:t xml:space="preserve">- Cllr A. Gallafant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gave an update that a conversation had been held with SBC regarding the above in order to determine how the project might be progressed, particularly in respect of  identifying funding e.g. NLHF. SBC agreed to come back to Cllr Gallafant regarding the position and also offered to project manage the initiative once everything is in place.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Fonts w:ascii="Calibri" w:cs="Calibri" w:eastAsia="Calibri" w:hAnsi="Calibri"/>
          <w:rtl w:val="0"/>
        </w:rPr>
        <w:t xml:space="preserve">6.2</w:t>
        <w:tab/>
        <w:t xml:space="preserve">The Town Clock: Survey &amp; Action Required</w:t>
        <w:tab/>
        <w:tab/>
        <w:tab/>
      </w:r>
      <w:r w:rsidDel="00000000" w:rsidR="00000000" w:rsidRPr="00000000">
        <w:rPr>
          <w:rFonts w:ascii="Calibri" w:cs="Calibri" w:eastAsia="Calibri" w:hAnsi="Calibri"/>
          <w:b w:val="1"/>
          <w:rtl w:val="0"/>
        </w:rPr>
        <w:t xml:space="preserve">- Cllr P. Monck</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rtl w:val="0"/>
        </w:rPr>
        <w:t xml:space="preserve">The clock surround boarding needs replacing. It was agreed to pursue Option 2 in the Surveyor’s Report (JABA) as any progression on the Town Hall Development Project was likely to be more than several years away, in the current climate.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AGREED: - </w:t>
      </w:r>
      <w:r w:rsidDel="00000000" w:rsidR="00000000" w:rsidRPr="00000000">
        <w:rPr>
          <w:rFonts w:ascii="Calibri" w:cs="Calibri" w:eastAsia="Calibri" w:hAnsi="Calibri"/>
          <w:rtl w:val="0"/>
        </w:rPr>
        <w:t xml:space="preserve">Option 2</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7.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items for information and consideration for the next agenda</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ab/>
        <w:t xml:space="preserve">N/A</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8.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confirm the date and time of the next Weigh and Tolls Committee meeting: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Tuesday </w:t>
      </w:r>
      <w:r w:rsidDel="00000000" w:rsidR="00000000" w:rsidRPr="00000000">
        <w:rPr>
          <w:rFonts w:ascii="Calibri" w:cs="Calibri" w:eastAsia="Calibri" w:hAnsi="Calibri"/>
          <w:b w:val="1"/>
          <w:rtl w:val="0"/>
        </w:rPr>
        <w:t xml:space="preserve">13th October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2020</w:t>
      </w:r>
      <w:r w:rsidDel="00000000" w:rsidR="00000000" w:rsidRPr="00000000">
        <w:rPr>
          <w:rFonts w:ascii="Calibri" w:cs="Calibri" w:eastAsia="Calibri" w:hAnsi="Calibri"/>
          <w:b w:val="1"/>
          <w:rtl w:val="0"/>
        </w:rPr>
        <w:t xml:space="preserve">  (method - TBC)</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-19044</wp:posOffset>
              </wp:positionH>
              <wp:positionV relativeFrom="page">
                <wp:posOffset>171452</wp:posOffset>
              </wp:positionV>
              <wp:extent cx="7810500" cy="304800"/>
              <wp:effectExtent b="0" l="0" r="0" t="0"/>
              <wp:wrapNone/>
              <wp:docPr descr="{&quot;HashCode&quot;:1951441951,&quot;Height&quot;:792.0,&quot;Width&quot;:612.0,&quot;Placement&quot;:&quot;Header&quot;,&quot;Index&quot;:&quot;Primary&quot;,&quot;Section&quot;:1,&quot;Top&quot;:0.0,&quot;Left&quot;:0.0}" id="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-19044</wp:posOffset>
              </wp:positionH>
              <wp:positionV relativeFrom="page">
                <wp:posOffset>171452</wp:posOffset>
              </wp:positionV>
              <wp:extent cx="7810500" cy="304800"/>
              <wp:effectExtent b="0" l="0" r="0" t="0"/>
              <wp:wrapNone/>
              <wp:docPr descr="{&quot;HashCode&quot;:1951441951,&quot;Height&quot;:792.0,&quot;Width&quot;:612.0,&quot;Placement&quot;:&quot;Header&quot;,&quot;Index&quot;:&quot;Primary&quot;,&quot;Section&quot;:1,&quot;Top&quot;:0.0,&quot;Left&quot;:0.0}" id="9"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10500" cy="3048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37EA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7EA6"/>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FXSFkro/BcgYK6LYkm8t2gurnQ==">AMUW2mW94TY+uFiyMVnUJ5z+mFJb2/AEHgfvAJF8rOX0E5R3EQWpcVGVIp3KDJJrW+swD0guyoVBuyXb9ESN44Hh+oyk0IhB0xs171ACjrG2zGvVPFIJBdM=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2020-05-04T10:03:00Z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